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textAlignment w:val="baseline"/>
        <w:rPr>
          <w:rFonts w:ascii="方正小标宋简体" w:hAnsi="黑体" w:eastAsia="方正小标宋简体"/>
          <w:kern w:val="0"/>
          <w:sz w:val="44"/>
          <w:szCs w:val="44"/>
        </w:rPr>
      </w:pPr>
      <w:r>
        <w:rPr>
          <w:rFonts w:hint="eastAsia" w:ascii="方正小标宋简体" w:hAnsi="黑体" w:eastAsia="方正小标宋简体"/>
          <w:kern w:val="0"/>
          <w:sz w:val="44"/>
          <w:szCs w:val="44"/>
        </w:rPr>
        <w:t>《规模以下养殖场（户）粪污处理技术规范》</w:t>
      </w:r>
    </w:p>
    <w:p>
      <w:pPr>
        <w:snapToGrid w:val="0"/>
        <w:spacing w:line="600" w:lineRule="exact"/>
        <w:jc w:val="center"/>
        <w:textAlignment w:val="baseline"/>
        <w:rPr>
          <w:rFonts w:ascii="黑体" w:hAnsi="黑体" w:eastAsia="黑体"/>
          <w:kern w:val="0"/>
          <w:sz w:val="36"/>
          <w:szCs w:val="36"/>
        </w:rPr>
      </w:pPr>
      <w:r>
        <w:rPr>
          <w:rFonts w:hint="eastAsia" w:ascii="方正小标宋简体" w:hAnsi="黑体" w:eastAsia="方正小标宋简体"/>
          <w:kern w:val="0"/>
          <w:sz w:val="44"/>
          <w:szCs w:val="44"/>
        </w:rPr>
        <w:t>安阳市地方标准编制说明</w:t>
      </w:r>
    </w:p>
    <w:p>
      <w:pPr>
        <w:spacing w:line="600" w:lineRule="exact"/>
        <w:textAlignment w:val="baseline"/>
        <w:rPr>
          <w:rFonts w:ascii="黑体" w:hAnsi="黑体" w:eastAsia="黑体" w:cs="黑体"/>
          <w:sz w:val="36"/>
          <w:szCs w:val="36"/>
        </w:rPr>
      </w:pPr>
    </w:p>
    <w:p>
      <w:pPr>
        <w:snapToGrid w:val="0"/>
        <w:spacing w:line="600" w:lineRule="exact"/>
        <w:ind w:firstLine="640" w:firstLineChars="200"/>
        <w:textAlignment w:val="baseline"/>
        <w:rPr>
          <w:rFonts w:ascii="黑体" w:hAnsi="黑体" w:eastAsia="黑体"/>
          <w:kern w:val="0"/>
          <w:sz w:val="32"/>
          <w:szCs w:val="32"/>
        </w:rPr>
      </w:pPr>
      <w:r>
        <w:rPr>
          <w:rFonts w:hint="eastAsia" w:ascii="黑体" w:hAnsi="黑体" w:eastAsia="黑体"/>
          <w:kern w:val="0"/>
          <w:sz w:val="32"/>
          <w:szCs w:val="32"/>
          <w:highlight w:val="none"/>
        </w:rPr>
        <w:t>一、</w:t>
      </w:r>
      <w:r>
        <w:rPr>
          <w:rFonts w:hint="eastAsia" w:ascii="黑体" w:hAnsi="黑体" w:eastAsia="黑体"/>
          <w:kern w:val="0"/>
          <w:sz w:val="32"/>
          <w:szCs w:val="32"/>
        </w:rPr>
        <w:t>编制的目的和意义</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畜禽粪肥还田利用是解决畜禽养殖污染问题的根本出路、治本之策，抓好畜禽粪污资源化利用是促进畜牧业绿色可持续发展的重要举措。随着农业农村污染防治攻坚战深入，将规模以下养殖场（户）纳入畜牧业转型升级整体部署，变得迫切起来。规模以下养殖场（户）数量众多、点位分散、资源化利用水平较低，若不能对粪污进行合理收集、贮存和处理，易蚊蝇滋生蔓延、疾病传播，也并有造成人畜疫病共患的隐患，尤其是在夏季或多雨汛期，还会造成污水渗入地下或流入河道等水域内，进一步造成土壤、水域污染和疾病的传播，影响人畜饮水的安全及身体健康。</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规模以下养殖场（户）粪污处理技术规范》的制定实施，有利于逐步完善规模以下养殖场（户）粪污资源化利用设施建设，规范畜禽粪污资源化利用全过程，使粪污收集、贮存、处理、还田利用等技术环节有据可查，有标准可依，进而加快推进构建种养结合、农牧循环的可持续发展新格局。</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firstLine="640" w:firstLineChars="200"/>
        <w:jc w:val="both"/>
        <w:textAlignment w:val="auto"/>
        <w:outlineLvl w:val="9"/>
        <w:rPr>
          <w:rFonts w:hint="eastAsia" w:eastAsia="黑体"/>
          <w:color w:val="auto"/>
          <w:kern w:val="0"/>
          <w:sz w:val="32"/>
          <w:szCs w:val="32"/>
          <w:lang w:val="en-US" w:eastAsia="zh-CN"/>
        </w:rPr>
      </w:pPr>
      <w:r>
        <w:rPr>
          <w:rFonts w:hint="eastAsia" w:eastAsia="黑体"/>
          <w:color w:val="auto"/>
          <w:kern w:val="0"/>
          <w:sz w:val="32"/>
          <w:szCs w:val="32"/>
          <w:lang w:val="en-US" w:eastAsia="zh-CN"/>
        </w:rPr>
        <w:t>二、任务来源及编制原则和依据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1、任务来源</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安阳市市场监督管理局关于征集2023年度市地方标准制修订项目的通知》（安市监〔2023〕27号）文件要求，本标准由安阳市动物疫病预防控制中心提出立项申请，安阳市市场监督管理局于2023年7月发布了《安阳市市场监督管理局关于发布2023年度地方标准制修订项目的公告》（2023年第7号公告），该标准立项申请被批准，立项编号：202306，截止期限为2024年8月。</w:t>
      </w:r>
    </w:p>
    <w:p>
      <w:pPr>
        <w:keepNext w:val="0"/>
        <w:keepLines w:val="0"/>
        <w:pageBreakBefore w:val="0"/>
        <w:widowControl w:val="0"/>
        <w:numPr>
          <w:ilvl w:val="0"/>
          <w:numId w:val="0"/>
        </w:numPr>
        <w:kinsoku/>
        <w:wordWrap/>
        <w:overflowPunct/>
        <w:topLinePunct w:val="0"/>
        <w:autoSpaceDE/>
        <w:autoSpaceDN/>
        <w:bidi w:val="0"/>
        <w:adjustRightInd/>
        <w:spacing w:line="240" w:lineRule="auto"/>
        <w:ind w:firstLine="640" w:firstLineChars="200"/>
        <w:textAlignment w:val="auto"/>
        <w:rPr>
          <w:rFonts w:hint="eastAsia" w:ascii="楷体" w:hAnsi="楷体" w:eastAsia="楷体" w:cs="楷体"/>
          <w:bCs/>
          <w:sz w:val="32"/>
          <w:szCs w:val="32"/>
          <w:highlight w:val="none"/>
          <w:lang w:val="en-US" w:eastAsia="zh-CN"/>
        </w:rPr>
      </w:pPr>
      <w:r>
        <w:rPr>
          <w:rFonts w:hint="eastAsia" w:ascii="楷体" w:hAnsi="楷体" w:eastAsia="楷体" w:cs="楷体"/>
          <w:bCs/>
          <w:sz w:val="32"/>
          <w:szCs w:val="32"/>
          <w:highlight w:val="none"/>
          <w:lang w:val="en-US" w:eastAsia="zh-CN"/>
        </w:rPr>
        <w:t>2、编制原则和依据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《规模以下养殖场（户）粪污处理技术规范》安阳市地方标准的编制，遵循规范性、实用性、统一性、通用性和可操作性的原则，严格按照国家有关标准化的法律、法规、标准的规定，严格按照“GB/T 1.1-2020标准化工作导则”第1部分：标准的结构编写，按照“GB/T 1.2-2020标准化工作导则”第2部分：标准的制定程序的规定进行。编制的内容以安阳市规模以下养殖场（户）实际情况为基础，制定适宜规模以下养殖场（户）粪污处理技术措施，为构建种养结合、农牧循环的可持续发展服务。</w:t>
      </w:r>
    </w:p>
    <w:p>
      <w:pPr>
        <w:keepNext w:val="0"/>
        <w:keepLines w:val="0"/>
        <w:pageBreakBefore w:val="0"/>
        <w:widowControl w:val="0"/>
        <w:kinsoku/>
        <w:wordWrap/>
        <w:overflowPunct/>
        <w:topLinePunct w:val="0"/>
        <w:autoSpaceDE/>
        <w:autoSpaceDN/>
        <w:bidi w:val="0"/>
        <w:adjustRightInd w:val="0"/>
        <w:snapToGrid w:val="0"/>
        <w:spacing w:line="360" w:lineRule="auto"/>
        <w:ind w:firstLine="627" w:firstLineChars="196"/>
        <w:textAlignment w:val="auto"/>
        <w:rPr>
          <w:rFonts w:hint="eastAsia" w:ascii="黑体" w:eastAsia="黑体"/>
          <w:kern w:val="0"/>
          <w:sz w:val="32"/>
          <w:szCs w:val="32"/>
        </w:rPr>
      </w:pPr>
      <w:r>
        <w:rPr>
          <w:rFonts w:hint="eastAsia" w:ascii="黑体" w:eastAsia="黑体"/>
          <w:kern w:val="0"/>
          <w:sz w:val="32"/>
          <w:szCs w:val="32"/>
        </w:rPr>
        <w:t>三、编制过程</w:t>
      </w:r>
    </w:p>
    <w:p>
      <w:pPr>
        <w:keepNext w:val="0"/>
        <w:keepLines w:val="0"/>
        <w:pageBreakBefore w:val="0"/>
        <w:widowControl w:val="0"/>
        <w:kinsoku/>
        <w:wordWrap/>
        <w:overflowPunct/>
        <w:topLinePunct w:val="0"/>
        <w:autoSpaceDE/>
        <w:autoSpaceDN/>
        <w:bidi w:val="0"/>
        <w:adjustRightInd w:val="0"/>
        <w:snapToGrid w:val="0"/>
        <w:spacing w:line="360" w:lineRule="auto"/>
        <w:ind w:firstLine="627" w:firstLineChars="196"/>
        <w:textAlignment w:val="auto"/>
        <w:rPr>
          <w:rFonts w:hint="eastAsia" w:ascii="仿宋" w:hAnsi="仿宋" w:eastAsia="仿宋" w:cs="仿宋"/>
          <w:kern w:val="0"/>
          <w:sz w:val="32"/>
          <w:szCs w:val="32"/>
        </w:rPr>
      </w:pPr>
      <w:r>
        <w:rPr>
          <w:rFonts w:hint="eastAsia" w:ascii="楷体_GB2312" w:eastAsia="楷体_GB2312"/>
          <w:kern w:val="0"/>
          <w:sz w:val="32"/>
          <w:szCs w:val="32"/>
        </w:rPr>
        <w:t>（一）主要起草单位。</w:t>
      </w:r>
      <w:r>
        <w:rPr>
          <w:rFonts w:hint="eastAsia" w:ascii="仿宋" w:hAnsi="仿宋" w:eastAsia="仿宋" w:cs="仿宋"/>
          <w:kern w:val="0"/>
          <w:sz w:val="32"/>
          <w:szCs w:val="32"/>
        </w:rPr>
        <w:t>安阳市动物疫病预防控制中心</w:t>
      </w:r>
    </w:p>
    <w:p>
      <w:pPr>
        <w:keepNext w:val="0"/>
        <w:keepLines w:val="0"/>
        <w:pageBreakBefore w:val="0"/>
        <w:widowControl w:val="0"/>
        <w:kinsoku/>
        <w:wordWrap/>
        <w:overflowPunct/>
        <w:topLinePunct w:val="0"/>
        <w:autoSpaceDE/>
        <w:autoSpaceDN/>
        <w:bidi w:val="0"/>
        <w:adjustRightInd w:val="0"/>
        <w:snapToGrid w:val="0"/>
        <w:spacing w:line="360" w:lineRule="auto"/>
        <w:ind w:firstLine="627" w:firstLineChars="196"/>
        <w:textAlignment w:val="auto"/>
        <w:rPr>
          <w:rFonts w:hint="eastAsia" w:ascii="仿宋" w:hAnsi="仿宋" w:eastAsia="仿宋" w:cs="仿宋"/>
          <w:kern w:val="0"/>
          <w:sz w:val="32"/>
          <w:szCs w:val="32"/>
        </w:rPr>
      </w:pPr>
      <w:r>
        <w:rPr>
          <w:rFonts w:hint="eastAsia" w:ascii="楷体_GB2312" w:eastAsia="楷体_GB2312"/>
          <w:kern w:val="0"/>
          <w:sz w:val="32"/>
          <w:szCs w:val="32"/>
        </w:rPr>
        <w:t>（二）主要起草人。</w:t>
      </w:r>
      <w:r>
        <w:rPr>
          <w:rFonts w:hint="eastAsia" w:ascii="仿宋" w:hAnsi="仿宋" w:eastAsia="仿宋" w:cs="仿宋"/>
          <w:sz w:val="32"/>
          <w:szCs w:val="32"/>
        </w:rPr>
        <w:t>尉新华、李辉、江艳、唐晓琼、申福顺、赵晓军、冯源、侯素芳、王宇、王天文、刘院利、吴莹丽、杨威君、宋冉、赵丹、杨斌、孙仁杰、熊瑞冰、赵帅兵、赵慧、马星、杨俊娟、焦志欢、王志萍。</w:t>
      </w:r>
    </w:p>
    <w:p>
      <w:pPr>
        <w:keepNext w:val="0"/>
        <w:keepLines w:val="0"/>
        <w:pageBreakBefore w:val="0"/>
        <w:widowControl w:val="0"/>
        <w:kinsoku/>
        <w:wordWrap/>
        <w:overflowPunct/>
        <w:topLinePunct w:val="0"/>
        <w:autoSpaceDE/>
        <w:autoSpaceDN/>
        <w:bidi w:val="0"/>
        <w:adjustRightInd w:val="0"/>
        <w:snapToGrid w:val="0"/>
        <w:spacing w:line="360" w:lineRule="auto"/>
        <w:ind w:firstLine="627" w:firstLineChars="196"/>
        <w:textAlignment w:val="auto"/>
        <w:rPr>
          <w:rFonts w:hint="eastAsia" w:ascii="楷体_GB2312" w:eastAsia="楷体_GB2312"/>
          <w:kern w:val="0"/>
          <w:sz w:val="32"/>
          <w:szCs w:val="32"/>
        </w:rPr>
      </w:pPr>
      <w:r>
        <w:rPr>
          <w:rFonts w:hint="eastAsia" w:ascii="楷体_GB2312" w:eastAsia="楷体_GB2312"/>
          <w:kern w:val="0"/>
          <w:sz w:val="32"/>
          <w:szCs w:val="32"/>
        </w:rPr>
        <w:t>（三）起草过程。</w:t>
      </w:r>
    </w:p>
    <w:p>
      <w:pPr>
        <w:keepNext w:val="0"/>
        <w:keepLines w:val="0"/>
        <w:pageBreakBefore w:val="0"/>
        <w:widowControl w:val="0"/>
        <w:kinsoku/>
        <w:wordWrap/>
        <w:overflowPunct/>
        <w:topLinePunct w:val="0"/>
        <w:autoSpaceDE/>
        <w:autoSpaceDN/>
        <w:bidi w:val="0"/>
        <w:adjustRightInd w:val="0"/>
        <w:snapToGrid w:val="0"/>
        <w:spacing w:line="360" w:lineRule="auto"/>
        <w:ind w:firstLine="627" w:firstLineChars="196"/>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工作基础：2017年起，按照国家、省要求推进畜禽粪污资源化利用工作，坚持以改善农村人居环境为抓手，以畜牧大县、规模养殖场为重点，兼顾非畜牧大县和规模以下养殖场户，积极争取中央资金扶持，推动林州市（2019年财政项目）、滑县（2020年发改项目）和内黄县（2020年发改项目）三个畜禽粪污资源化利用整县推进项目（现均已全部完工），加强畜禽粪污处理利用基础设施建设，完善养殖粪污治理体系，推进畜禽粪污肥料化、能源化利用。截至目前，全市规模养殖场粪污处理设施装备配套率达100%。</w:t>
      </w:r>
    </w:p>
    <w:p>
      <w:pPr>
        <w:keepNext w:val="0"/>
        <w:keepLines w:val="0"/>
        <w:pageBreakBefore w:val="0"/>
        <w:widowControl w:val="0"/>
        <w:kinsoku/>
        <w:wordWrap/>
        <w:overflowPunct/>
        <w:topLinePunct w:val="0"/>
        <w:autoSpaceDE/>
        <w:autoSpaceDN/>
        <w:bidi w:val="0"/>
        <w:adjustRightInd w:val="0"/>
        <w:snapToGrid w:val="0"/>
        <w:spacing w:line="360" w:lineRule="auto"/>
        <w:ind w:firstLine="627" w:firstLineChars="196"/>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标准起草制定工作：起草工作人员认真阅读了标准制定的一系列文件，对标准制定的格式、内容、术语、表达方式等进行了深入的学习。制定过程中，起草组技术人员多次前往各县（市、区）规模以下养殖场（户），反复开展调查研究，深入进行沟通交流，探讨粪污处理过程中存在的情况及问题，结合技术方案，依据国家的相关法律法规和技术标准，编制起草了该标准的初稿。在编制过程中标准编制小组邀请高等院校相关专业的教授及有关行业内专家对标准初稿进行修改和讨论，收集、采纳了多方面的意见，经过多次修订和完善，形成此标准征求意见稿。</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firstLine="640" w:firstLineChars="200"/>
        <w:jc w:val="both"/>
        <w:textAlignment w:val="auto"/>
        <w:outlineLvl w:val="9"/>
        <w:rPr>
          <w:rFonts w:hint="eastAsia" w:eastAsia="黑体"/>
          <w:color w:val="auto"/>
          <w:kern w:val="0"/>
          <w:sz w:val="32"/>
          <w:szCs w:val="32"/>
          <w:lang w:val="en-US" w:eastAsia="zh-CN"/>
        </w:rPr>
      </w:pPr>
      <w:r>
        <w:rPr>
          <w:rFonts w:hint="eastAsia" w:eastAsia="黑体"/>
          <w:color w:val="auto"/>
          <w:kern w:val="0"/>
          <w:sz w:val="32"/>
          <w:szCs w:val="32"/>
          <w:lang w:val="en-US" w:eastAsia="zh-CN"/>
        </w:rPr>
        <w:t>四、主要内容的确定</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根据GB/T 27622 畜禽粪便贮存设施设计要求</w:t>
      </w:r>
      <w:r>
        <w:rPr>
          <w:rFonts w:hint="eastAsia" w:ascii="仿宋" w:hAnsi="仿宋" w:eastAsia="仿宋" w:cs="仿宋"/>
          <w:sz w:val="32"/>
          <w:szCs w:val="32"/>
          <w:lang w:eastAsia="zh-CN"/>
        </w:rPr>
        <w:t>、</w:t>
      </w:r>
      <w:r>
        <w:rPr>
          <w:rFonts w:hint="eastAsia" w:ascii="仿宋" w:hAnsi="仿宋" w:eastAsia="仿宋" w:cs="仿宋"/>
          <w:sz w:val="32"/>
          <w:szCs w:val="32"/>
        </w:rPr>
        <w:t>GB/T 26624 畜禽养殖污水贮存设施设计要求</w:t>
      </w:r>
      <w:r>
        <w:rPr>
          <w:rFonts w:hint="eastAsia" w:ascii="仿宋" w:hAnsi="仿宋" w:eastAsia="仿宋" w:cs="仿宋"/>
          <w:sz w:val="32"/>
          <w:szCs w:val="32"/>
          <w:lang w:eastAsia="zh-CN"/>
        </w:rPr>
        <w:t>、</w:t>
      </w:r>
      <w:r>
        <w:rPr>
          <w:rFonts w:hint="eastAsia" w:ascii="仿宋" w:hAnsi="仿宋" w:eastAsia="仿宋" w:cs="仿宋"/>
          <w:sz w:val="32"/>
          <w:szCs w:val="32"/>
        </w:rPr>
        <w:t>GB/T 36195 畜禽粪便无害化处理技术规范</w:t>
      </w:r>
      <w:r>
        <w:rPr>
          <w:rFonts w:hint="eastAsia" w:ascii="仿宋" w:hAnsi="仿宋" w:eastAsia="仿宋" w:cs="仿宋"/>
          <w:sz w:val="32"/>
          <w:szCs w:val="32"/>
          <w:lang w:eastAsia="zh-CN"/>
        </w:rPr>
        <w:t>、</w:t>
      </w:r>
      <w:r>
        <w:rPr>
          <w:rFonts w:hint="eastAsia" w:ascii="仿宋" w:hAnsi="仿宋" w:eastAsia="仿宋" w:cs="仿宋"/>
          <w:sz w:val="32"/>
          <w:szCs w:val="32"/>
        </w:rPr>
        <w:t>NY/T 3442  畜禽粪便堆肥技术规范</w:t>
      </w:r>
      <w:r>
        <w:rPr>
          <w:rFonts w:hint="eastAsia" w:ascii="仿宋" w:hAnsi="仿宋" w:eastAsia="仿宋" w:cs="仿宋"/>
          <w:sz w:val="32"/>
          <w:szCs w:val="32"/>
          <w:lang w:eastAsia="zh-CN"/>
        </w:rPr>
        <w:t>、</w:t>
      </w:r>
      <w:r>
        <w:rPr>
          <w:rFonts w:hint="eastAsia" w:ascii="仿宋" w:hAnsi="仿宋" w:eastAsia="仿宋" w:cs="仿宋"/>
          <w:sz w:val="32"/>
          <w:szCs w:val="32"/>
        </w:rPr>
        <w:t>GB 18596   畜禽养殖业污染物排放标准</w:t>
      </w:r>
      <w:r>
        <w:rPr>
          <w:rFonts w:hint="eastAsia" w:ascii="仿宋" w:hAnsi="仿宋" w:eastAsia="仿宋" w:cs="仿宋"/>
          <w:sz w:val="32"/>
          <w:szCs w:val="32"/>
          <w:lang w:eastAsia="zh-CN"/>
        </w:rPr>
        <w:t>、</w:t>
      </w:r>
      <w:r>
        <w:rPr>
          <w:rFonts w:hint="eastAsia" w:ascii="仿宋" w:hAnsi="仿宋" w:eastAsia="仿宋" w:cs="仿宋"/>
          <w:sz w:val="32"/>
          <w:szCs w:val="32"/>
        </w:rPr>
        <w:t>《畜禽粪污土地承载力测算技术指南》（农办牧〔2018〕1号）的要求，结合安阳市</w:t>
      </w:r>
      <w:r>
        <w:rPr>
          <w:rFonts w:hint="eastAsia" w:ascii="仿宋" w:hAnsi="仿宋" w:eastAsia="仿宋" w:cs="仿宋"/>
          <w:sz w:val="32"/>
          <w:szCs w:val="32"/>
          <w:lang w:eastAsia="zh-CN"/>
        </w:rPr>
        <w:t>规模以下养殖场（户）</w:t>
      </w:r>
      <w:r>
        <w:rPr>
          <w:rFonts w:hint="eastAsia" w:ascii="仿宋" w:hAnsi="仿宋" w:eastAsia="仿宋" w:cs="仿宋"/>
          <w:sz w:val="32"/>
          <w:szCs w:val="32"/>
        </w:rPr>
        <w:t>的实际情况，本标准规定了规模以下养殖场（户）粪污</w:t>
      </w:r>
      <w:r>
        <w:rPr>
          <w:rFonts w:hint="eastAsia" w:ascii="仿宋" w:hAnsi="仿宋" w:eastAsia="仿宋" w:cs="仿宋"/>
          <w:sz w:val="32"/>
          <w:szCs w:val="32"/>
          <w:lang w:eastAsia="zh-CN"/>
        </w:rPr>
        <w:t>资源化利用</w:t>
      </w:r>
      <w:r>
        <w:rPr>
          <w:rFonts w:hint="eastAsia" w:ascii="仿宋" w:hAnsi="仿宋" w:eastAsia="仿宋" w:cs="仿宋"/>
          <w:sz w:val="32"/>
          <w:szCs w:val="32"/>
        </w:rPr>
        <w:t>技术术语和定义、</w:t>
      </w:r>
      <w:r>
        <w:rPr>
          <w:rFonts w:hint="eastAsia" w:ascii="仿宋" w:hAnsi="仿宋" w:eastAsia="仿宋" w:cs="仿宋"/>
          <w:sz w:val="32"/>
          <w:szCs w:val="32"/>
          <w:lang w:eastAsia="zh-CN"/>
        </w:rPr>
        <w:t>基本要求</w:t>
      </w:r>
      <w:r>
        <w:rPr>
          <w:rFonts w:hint="eastAsia" w:ascii="仿宋" w:hAnsi="仿宋" w:eastAsia="仿宋" w:cs="仿宋"/>
          <w:sz w:val="32"/>
          <w:szCs w:val="32"/>
        </w:rPr>
        <w:t>、</w:t>
      </w:r>
      <w:r>
        <w:rPr>
          <w:rFonts w:hint="eastAsia" w:ascii="仿宋" w:hAnsi="仿宋" w:eastAsia="仿宋" w:cs="仿宋"/>
          <w:sz w:val="32"/>
          <w:szCs w:val="32"/>
          <w:lang w:eastAsia="zh-CN"/>
        </w:rPr>
        <w:t>粪污收集</w:t>
      </w:r>
      <w:r>
        <w:rPr>
          <w:rFonts w:hint="eastAsia" w:ascii="仿宋" w:hAnsi="仿宋" w:eastAsia="仿宋" w:cs="仿宋"/>
          <w:sz w:val="32"/>
          <w:szCs w:val="32"/>
        </w:rPr>
        <w:t>、</w:t>
      </w:r>
      <w:r>
        <w:rPr>
          <w:rFonts w:hint="eastAsia" w:ascii="仿宋" w:hAnsi="仿宋" w:eastAsia="仿宋" w:cs="仿宋"/>
          <w:sz w:val="32"/>
          <w:szCs w:val="32"/>
          <w:lang w:eastAsia="zh-CN"/>
        </w:rPr>
        <w:t>粪污贮存</w:t>
      </w:r>
      <w:r>
        <w:rPr>
          <w:rFonts w:hint="eastAsia" w:ascii="仿宋" w:hAnsi="仿宋" w:eastAsia="仿宋" w:cs="仿宋"/>
          <w:sz w:val="32"/>
          <w:szCs w:val="32"/>
        </w:rPr>
        <w:t>、</w:t>
      </w:r>
      <w:r>
        <w:rPr>
          <w:rFonts w:hint="eastAsia" w:ascii="仿宋" w:hAnsi="仿宋" w:eastAsia="仿宋" w:cs="仿宋"/>
          <w:sz w:val="32"/>
          <w:szCs w:val="32"/>
          <w:lang w:eastAsia="zh-CN"/>
        </w:rPr>
        <w:t>粪污处理</w:t>
      </w:r>
      <w:r>
        <w:rPr>
          <w:rFonts w:hint="eastAsia" w:ascii="仿宋" w:hAnsi="仿宋" w:eastAsia="仿宋" w:cs="仿宋"/>
          <w:sz w:val="32"/>
          <w:szCs w:val="32"/>
        </w:rPr>
        <w:t>、</w:t>
      </w:r>
      <w:r>
        <w:rPr>
          <w:rFonts w:hint="eastAsia" w:ascii="仿宋" w:hAnsi="仿宋" w:eastAsia="仿宋" w:cs="仿宋"/>
          <w:sz w:val="32"/>
          <w:szCs w:val="32"/>
          <w:lang w:eastAsia="zh-CN"/>
        </w:rPr>
        <w:t>还田利用</w:t>
      </w:r>
      <w:r>
        <w:rPr>
          <w:rFonts w:hint="eastAsia" w:ascii="仿宋" w:hAnsi="仿宋" w:eastAsia="仿宋" w:cs="仿宋"/>
          <w:sz w:val="32"/>
          <w:szCs w:val="32"/>
        </w:rPr>
        <w:t>等。</w:t>
      </w:r>
      <w:r>
        <w:rPr>
          <w:rFonts w:hint="eastAsia" w:ascii="仿宋" w:hAnsi="仿宋" w:eastAsia="仿宋" w:cs="仿宋"/>
          <w:sz w:val="32"/>
          <w:szCs w:val="32"/>
          <w:lang w:eastAsia="zh-CN"/>
        </w:rPr>
        <w:t>本标准</w:t>
      </w:r>
      <w:r>
        <w:rPr>
          <w:rFonts w:hint="eastAsia" w:ascii="仿宋" w:hAnsi="仿宋" w:eastAsia="仿宋" w:cs="仿宋"/>
          <w:sz w:val="32"/>
          <w:szCs w:val="32"/>
        </w:rPr>
        <w:t>适用于</w:t>
      </w:r>
      <w:r>
        <w:rPr>
          <w:rFonts w:hint="eastAsia" w:ascii="仿宋" w:hAnsi="仿宋" w:eastAsia="仿宋" w:cs="仿宋"/>
          <w:sz w:val="32"/>
          <w:szCs w:val="32"/>
          <w:lang w:eastAsia="zh-CN"/>
        </w:rPr>
        <w:t>安阳市</w:t>
      </w:r>
      <w:r>
        <w:rPr>
          <w:rFonts w:hint="eastAsia" w:ascii="仿宋" w:hAnsi="仿宋" w:eastAsia="仿宋" w:cs="仿宋"/>
          <w:sz w:val="32"/>
          <w:szCs w:val="32"/>
        </w:rPr>
        <w:t>规模以下养殖场（户）粪污</w:t>
      </w:r>
      <w:r>
        <w:rPr>
          <w:rFonts w:hint="eastAsia" w:ascii="仿宋" w:hAnsi="仿宋" w:eastAsia="仿宋" w:cs="仿宋"/>
          <w:sz w:val="32"/>
          <w:szCs w:val="32"/>
          <w:lang w:eastAsia="zh-CN"/>
        </w:rPr>
        <w:t>治理</w:t>
      </w:r>
      <w:r>
        <w:rPr>
          <w:rFonts w:hint="eastAsia" w:ascii="仿宋" w:hAnsi="仿宋" w:eastAsia="仿宋" w:cs="仿宋"/>
          <w:sz w:val="32"/>
          <w:szCs w:val="32"/>
          <w:highlight w:val="none"/>
          <w:lang w:eastAsia="zh-CN"/>
        </w:rPr>
        <w:t>工作</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firstLine="640" w:firstLineChars="200"/>
        <w:jc w:val="both"/>
        <w:textAlignment w:val="auto"/>
        <w:outlineLvl w:val="9"/>
        <w:rPr>
          <w:rFonts w:hint="eastAsia" w:eastAsia="黑体"/>
          <w:color w:val="auto"/>
          <w:kern w:val="0"/>
          <w:sz w:val="32"/>
          <w:szCs w:val="32"/>
          <w:lang w:val="en-US" w:eastAsia="zh-CN"/>
        </w:rPr>
      </w:pPr>
      <w:r>
        <w:rPr>
          <w:rFonts w:hint="eastAsia" w:eastAsia="黑体"/>
          <w:color w:val="auto"/>
          <w:kern w:val="0"/>
          <w:sz w:val="32"/>
          <w:szCs w:val="32"/>
          <w:lang w:val="en-US" w:eastAsia="zh-CN"/>
        </w:rPr>
        <w:t>五、采标情况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firstLine="640" w:firstLineChars="200"/>
        <w:jc w:val="both"/>
        <w:textAlignment w:val="auto"/>
        <w:outlineLvl w:val="9"/>
        <w:rPr>
          <w:rFonts w:hint="eastAsia" w:eastAsia="黑体"/>
          <w:color w:val="auto"/>
          <w:kern w:val="0"/>
          <w:sz w:val="32"/>
          <w:szCs w:val="32"/>
          <w:lang w:val="en-US" w:eastAsia="zh-CN"/>
        </w:rPr>
      </w:pPr>
      <w:r>
        <w:rPr>
          <w:rFonts w:hint="eastAsia" w:eastAsia="黑体"/>
          <w:color w:val="auto"/>
          <w:kern w:val="0"/>
          <w:sz w:val="32"/>
          <w:szCs w:val="32"/>
          <w:lang w:val="en-US" w:eastAsia="zh-CN"/>
        </w:rPr>
        <w:t>六、重大意见分歧的处理</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ind w:leftChars="200" w:firstLine="320" w:firstLineChars="100"/>
        <w:jc w:val="both"/>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本标准在编写过程中没有大的意见分歧。</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firstLine="640" w:firstLineChars="200"/>
        <w:jc w:val="both"/>
        <w:textAlignment w:val="auto"/>
        <w:outlineLvl w:val="9"/>
        <w:rPr>
          <w:rFonts w:hint="eastAsia" w:eastAsia="黑体"/>
          <w:color w:val="auto"/>
          <w:kern w:val="0"/>
          <w:sz w:val="32"/>
          <w:szCs w:val="32"/>
          <w:lang w:val="en-US" w:eastAsia="zh-CN"/>
        </w:rPr>
      </w:pPr>
      <w:r>
        <w:rPr>
          <w:rFonts w:hint="eastAsia" w:eastAsia="黑体"/>
          <w:color w:val="auto"/>
          <w:kern w:val="0"/>
          <w:sz w:val="32"/>
          <w:szCs w:val="32"/>
          <w:lang w:val="en-US" w:eastAsia="zh-CN"/>
        </w:rPr>
        <w:t>七、与国家法律法规和强制性标准的关系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本标准符合《中华人民共和国标准化法》、《中华人民共和国标准化法实施条例》、《国家标准管理办法》等国家有关法律法规的规定。</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firstLine="640" w:firstLineChars="200"/>
        <w:jc w:val="both"/>
        <w:textAlignment w:val="auto"/>
        <w:outlineLvl w:val="9"/>
        <w:rPr>
          <w:rFonts w:hint="eastAsia" w:eastAsia="黑体"/>
          <w:color w:val="auto"/>
          <w:kern w:val="0"/>
          <w:sz w:val="32"/>
          <w:szCs w:val="32"/>
          <w:lang w:val="en-US" w:eastAsia="zh-CN"/>
        </w:rPr>
      </w:pPr>
      <w:r>
        <w:rPr>
          <w:rFonts w:hint="eastAsia" w:eastAsia="黑体"/>
          <w:color w:val="auto"/>
          <w:kern w:val="0"/>
          <w:sz w:val="32"/>
          <w:szCs w:val="32"/>
          <w:lang w:val="en-US" w:eastAsia="zh-CN"/>
        </w:rPr>
        <w:t>八、其他应予说明的事项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无其他需要说明的事项。</w:t>
      </w:r>
      <w:r>
        <w:rPr>
          <w:rFonts w:hint="eastAsia" w:ascii="仿宋" w:hAnsi="仿宋" w:eastAsia="仿宋" w:cs="仿宋"/>
          <w:sz w:val="32"/>
          <w:szCs w:val="32"/>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ind w:leftChars="200" w:firstLine="321" w:firstLineChars="100"/>
        <w:jc w:val="both"/>
        <w:textAlignment w:val="baseline"/>
        <w:rPr>
          <w:rFonts w:hint="eastAsia" w:ascii="仿宋" w:hAnsi="仿宋" w:eastAsia="仿宋" w:cs="仿宋"/>
          <w:b/>
          <w:bCs/>
          <w:i w:val="0"/>
          <w:caps w:val="0"/>
          <w:spacing w:val="0"/>
          <w:w w:val="100"/>
          <w:kern w:val="0"/>
          <w:sz w:val="32"/>
          <w:szCs w:val="32"/>
          <w:lang w:val="en-US" w:eastAsia="zh-CN"/>
        </w:rPr>
      </w:pPr>
    </w:p>
    <w:p>
      <w:pPr>
        <w:keepNext w:val="0"/>
        <w:keepLines w:val="0"/>
        <w:pageBreakBefore w:val="0"/>
        <w:widowControl w:val="0"/>
        <w:kinsoku/>
        <w:wordWrap/>
        <w:overflowPunct/>
        <w:topLinePunct w:val="0"/>
        <w:autoSpaceDE/>
        <w:autoSpaceDN/>
        <w:bidi w:val="0"/>
        <w:adjustRightInd/>
        <w:spacing w:line="240" w:lineRule="auto"/>
        <w:ind w:firstLine="560" w:firstLineChars="200"/>
        <w:rPr>
          <w:rFonts w:hint="eastAsia" w:ascii="仿宋_GB2312" w:hAnsi="宋体" w:eastAsia="仿宋_GB2312"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《规模以下养殖场（户）粪污处理技术规范》标准起草小组</w:t>
      </w:r>
    </w:p>
    <w:p>
      <w:pPr>
        <w:keepNext w:val="0"/>
        <w:keepLines w:val="0"/>
        <w:pageBreakBefore w:val="0"/>
        <w:widowControl w:val="0"/>
        <w:kinsoku/>
        <w:wordWrap/>
        <w:overflowPunct/>
        <w:topLinePunct w:val="0"/>
        <w:autoSpaceDE/>
        <w:autoSpaceDN/>
        <w:bidi w:val="0"/>
        <w:adjustRightInd/>
        <w:snapToGrid/>
        <w:spacing w:line="240" w:lineRule="auto"/>
        <w:ind w:firstLine="5120" w:firstLineChars="16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2023年8月29</w:t>
      </w:r>
      <w:bookmarkStart w:id="0" w:name="_GoBack"/>
      <w:bookmarkEnd w:id="0"/>
      <w:r>
        <w:rPr>
          <w:rFonts w:hint="eastAsia" w:ascii="仿宋" w:hAnsi="仿宋" w:eastAsia="仿宋" w:cs="仿宋"/>
          <w:sz w:val="32"/>
          <w:szCs w:val="32"/>
          <w:lang w:val="en-US" w:eastAsia="zh-CN"/>
        </w:rPr>
        <w:t>日</w:t>
      </w:r>
    </w:p>
    <w:p>
      <w:pPr>
        <w:ind w:firstLine="640" w:firstLineChars="200"/>
        <w:rPr>
          <w:rFonts w:hint="eastAsia" w:ascii="仿宋" w:hAnsi="仿宋" w:eastAsia="仿宋" w:cs="仿宋"/>
          <w:sz w:val="32"/>
          <w:szCs w:val="32"/>
          <w:lang w:val="en-US" w:eastAsia="zh-CN"/>
        </w:rPr>
      </w:pPr>
    </w:p>
    <w:sectPr>
      <w:pgSz w:w="11906" w:h="16838"/>
      <w:pgMar w:top="1440" w:right="1474" w:bottom="1440" w:left="1587" w:header="720" w:footer="72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JjNzBhNDcxN2RmZmNjN2NjNTJlNzg1Y2EzZjUwM2QifQ=="/>
  </w:docVars>
  <w:rsids>
    <w:rsidRoot w:val="FFAFD742"/>
    <w:rsid w:val="2ECD3078"/>
    <w:rsid w:val="7977B4FB"/>
    <w:rsid w:val="7F47F8B3"/>
    <w:rsid w:val="F7E75281"/>
    <w:rsid w:val="F7EB9375"/>
    <w:rsid w:val="FFAFD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customStyle="1" w:styleId="5">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1817</Words>
  <Characters>1915</Characters>
  <Lines>0</Lines>
  <Paragraphs>0</Paragraphs>
  <TotalTime>534</TotalTime>
  <ScaleCrop>false</ScaleCrop>
  <LinksUpToDate>false</LinksUpToDate>
  <CharactersWithSpaces>1931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2023-08-23T00:24:00Z</dcterms:created>
  <dc:creator>sugon</dc:creator>
  <cp:lastModifiedBy>miller liu</cp:lastModifiedBy>
  <dcterms:modified xsi:type="dcterms:W3CDTF">2023-08-29T02:23:04Z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30238A578E8F4288A3D06E55A6D8AC81_12</vt:lpwstr>
  </property>
</Properties>
</file>